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227F1" w14:textId="760CB2DB" w:rsidR="006A0BC0" w:rsidRPr="00B96942" w:rsidRDefault="006A0BC0" w:rsidP="006A0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kern w:val="0"/>
          <w:sz w:val="24"/>
          <w:szCs w:val="24"/>
          <w:lang w:eastAsia="lv-LV"/>
          <w14:ligatures w14:val="none"/>
        </w:rPr>
      </w:pPr>
      <w:r w:rsidRPr="00B96942">
        <w:rPr>
          <w:rFonts w:ascii="Times New Roman" w:eastAsia="Times New Roman" w:hAnsi="Times New Roman" w:cs="Times New Roman"/>
          <w:b/>
          <w:bCs/>
          <w:color w:val="414142"/>
          <w:kern w:val="0"/>
          <w:sz w:val="24"/>
          <w:szCs w:val="24"/>
          <w:lang w:eastAsia="lv-LV"/>
          <w14:ligatures w14:val="none"/>
        </w:rPr>
        <w:t>Paskaidrojuma raksts</w:t>
      </w:r>
      <w:r w:rsidRPr="00B96942">
        <w:rPr>
          <w:rFonts w:ascii="Times New Roman" w:eastAsia="Times New Roman" w:hAnsi="Times New Roman" w:cs="Times New Roman"/>
          <w:b/>
          <w:bCs/>
          <w:color w:val="414142"/>
          <w:kern w:val="0"/>
          <w:sz w:val="24"/>
          <w:szCs w:val="24"/>
          <w:lang w:eastAsia="lv-LV"/>
          <w14:ligatures w14:val="none"/>
        </w:rPr>
        <w:br/>
        <w:t>Madonas novada pašvaldības 2024.</w:t>
      </w:r>
      <w:r w:rsidR="00B96942" w:rsidRPr="00B96942">
        <w:rPr>
          <w:rFonts w:ascii="Times New Roman" w:eastAsia="Times New Roman" w:hAnsi="Times New Roman" w:cs="Times New Roman"/>
          <w:b/>
          <w:bCs/>
          <w:color w:val="414142"/>
          <w:kern w:val="0"/>
          <w:sz w:val="24"/>
          <w:szCs w:val="24"/>
          <w:lang w:eastAsia="lv-LV"/>
          <w14:ligatures w14:val="none"/>
        </w:rPr>
        <w:t xml:space="preserve"> </w:t>
      </w:r>
      <w:r w:rsidRPr="00B96942">
        <w:rPr>
          <w:rFonts w:ascii="Times New Roman" w:eastAsia="Times New Roman" w:hAnsi="Times New Roman" w:cs="Times New Roman"/>
          <w:b/>
          <w:bCs/>
          <w:color w:val="414142"/>
          <w:kern w:val="0"/>
          <w:sz w:val="24"/>
          <w:szCs w:val="24"/>
          <w:lang w:eastAsia="lv-LV"/>
          <w14:ligatures w14:val="none"/>
        </w:rPr>
        <w:t xml:space="preserve">gada </w:t>
      </w:r>
      <w:r w:rsidR="00B96942" w:rsidRPr="00B96942">
        <w:rPr>
          <w:rFonts w:ascii="Times New Roman" w:eastAsia="Times New Roman" w:hAnsi="Times New Roman" w:cs="Times New Roman"/>
          <w:b/>
          <w:bCs/>
          <w:color w:val="414142"/>
          <w:kern w:val="0"/>
          <w:sz w:val="24"/>
          <w:szCs w:val="24"/>
          <w:lang w:eastAsia="lv-LV"/>
          <w14:ligatures w14:val="none"/>
        </w:rPr>
        <w:t>29. februāra</w:t>
      </w:r>
      <w:r w:rsidRPr="00B96942">
        <w:rPr>
          <w:rFonts w:ascii="Times New Roman" w:eastAsia="Times New Roman" w:hAnsi="Times New Roman" w:cs="Times New Roman"/>
          <w:b/>
          <w:bCs/>
          <w:color w:val="414142"/>
          <w:kern w:val="0"/>
          <w:sz w:val="24"/>
          <w:szCs w:val="24"/>
          <w:lang w:eastAsia="lv-LV"/>
          <w14:ligatures w14:val="none"/>
        </w:rPr>
        <w:t xml:space="preserve"> saistošajiem noteikumiem Nr.</w:t>
      </w:r>
      <w:r w:rsidR="00B96942" w:rsidRPr="00B96942">
        <w:rPr>
          <w:rFonts w:ascii="Times New Roman" w:eastAsia="Times New Roman" w:hAnsi="Times New Roman" w:cs="Times New Roman"/>
          <w:b/>
          <w:bCs/>
          <w:color w:val="414142"/>
          <w:kern w:val="0"/>
          <w:sz w:val="24"/>
          <w:szCs w:val="24"/>
          <w:lang w:eastAsia="lv-LV"/>
          <w14:ligatures w14:val="none"/>
        </w:rPr>
        <w:t xml:space="preserve"> 7</w:t>
      </w:r>
      <w:r w:rsidRPr="00B96942">
        <w:rPr>
          <w:rFonts w:ascii="Times New Roman" w:eastAsia="Times New Roman" w:hAnsi="Times New Roman" w:cs="Times New Roman"/>
          <w:b/>
          <w:bCs/>
          <w:color w:val="414142"/>
          <w:kern w:val="0"/>
          <w:sz w:val="24"/>
          <w:szCs w:val="24"/>
          <w:lang w:eastAsia="lv-LV"/>
          <w14:ligatures w14:val="none"/>
        </w:rPr>
        <w:t xml:space="preserve"> "Madonas novada pašvaldības nolikums"</w:t>
      </w:r>
    </w:p>
    <w:p w14:paraId="64912285" w14:textId="77777777" w:rsidR="006A0BC0" w:rsidRPr="00B96942" w:rsidRDefault="006A0BC0" w:rsidP="006A0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07"/>
        <w:gridCol w:w="6248"/>
      </w:tblGrid>
      <w:tr w:rsidR="000F6A92" w:rsidRPr="00B96942" w14:paraId="7AB22713" w14:textId="77777777" w:rsidTr="006A0BC0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B2F4B0" w14:textId="77777777" w:rsidR="006A0BC0" w:rsidRPr="00B96942" w:rsidRDefault="006A0BC0" w:rsidP="006A0BC0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96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Paskaidrojuma raksta sadaļas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761B6E3" w14:textId="77777777" w:rsidR="006A0BC0" w:rsidRPr="00B96942" w:rsidRDefault="006A0BC0" w:rsidP="006A0BC0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96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Norādāmā informācija</w:t>
            </w:r>
          </w:p>
        </w:tc>
      </w:tr>
      <w:tr w:rsidR="000F6A92" w:rsidRPr="00B96942" w14:paraId="358BF29C" w14:textId="77777777" w:rsidTr="006A0BC0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F92084E" w14:textId="77777777" w:rsidR="006A0BC0" w:rsidRPr="00B96942" w:rsidRDefault="006A0BC0" w:rsidP="006A0BC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96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Saistošo noteikumu mērķis un izdošanas nepieciešamības pamatojums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0C4C5D" w14:textId="77777777" w:rsidR="00F425C7" w:rsidRPr="00B96942" w:rsidRDefault="003D39BB" w:rsidP="00F425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lv-LV"/>
                <w14:ligatures w14:val="none"/>
              </w:rPr>
            </w:pPr>
            <w:r w:rsidRPr="00B96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lv-LV"/>
                <w14:ligatures w14:val="none"/>
              </w:rPr>
              <w:t>1. Saistošie noteikumi "Madonas novada pašvaldības nolikums" (turpmāk – Nolikums) izstrādāts ar mērķi izdot Pašvaldības likumā ietvertajam pilnvarojumam atbilstošu Madonas novada pašvaldības (turpmāk – Pašvaldība) nolikumu, nosakot pašvaldības institucionālo sistēmu un darba organizāciju.</w:t>
            </w:r>
          </w:p>
          <w:p w14:paraId="3FFD6D22" w14:textId="598199E1" w:rsidR="003D39BB" w:rsidRPr="00B96942" w:rsidRDefault="003D39BB" w:rsidP="00F425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96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2. Pamatojoties uz </w:t>
            </w:r>
            <w:hyperlink r:id="rId6" w:tgtFrame="_blank" w:history="1">
              <w:r w:rsidRPr="00B96942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lv-LV"/>
                  <w14:ligatures w14:val="none"/>
                </w:rPr>
                <w:t>Pašvaldību likuma</w:t>
              </w:r>
            </w:hyperlink>
            <w:r w:rsidRPr="00B96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Pārejas noteikumu 6. punktu, pašvaldības dome izvērtē uz likuma "</w:t>
            </w:r>
            <w:hyperlink r:id="rId7" w:tgtFrame="_blank" w:history="1">
              <w:r w:rsidRPr="00B96942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lv-LV"/>
                  <w14:ligatures w14:val="none"/>
                </w:rPr>
                <w:t>Par pašvaldībām</w:t>
              </w:r>
            </w:hyperlink>
            <w:r w:rsidRPr="00B96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" normu pamata izdoto saistošo noteikumu atbilstību šim likumam un izdod jaunus saistošos noteikumus atbilstoši šajā likumā ietvertajam pilnvarojumam. Šobrīd spēkā esošais Madonas novada pašvaldības nolikums ir izdots, pamatojoties uz likuma "</w:t>
            </w:r>
            <w:hyperlink r:id="rId8" w:tgtFrame="_blank" w:history="1">
              <w:r w:rsidRPr="00B96942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lv-LV"/>
                  <w14:ligatures w14:val="none"/>
                </w:rPr>
                <w:t>Par pašvaldībām</w:t>
              </w:r>
            </w:hyperlink>
            <w:r w:rsidRPr="00B96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" regulējumu, kas ir zaudējis spēku. Ievērojot minēto, nolikums ir piemērojams, ciktāl tas nav pretrunā ar </w:t>
            </w:r>
            <w:hyperlink r:id="rId9" w:tgtFrame="_blank" w:history="1">
              <w:r w:rsidRPr="00B96942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lv-LV"/>
                  <w14:ligatures w14:val="none"/>
                </w:rPr>
                <w:t>Pašvaldību likumu</w:t>
              </w:r>
            </w:hyperlink>
            <w:r w:rsidRPr="00B96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, bet ne ilgāk kā līdz 2024. gada 30. jūnijam.</w:t>
            </w:r>
          </w:p>
          <w:p w14:paraId="54755D5F" w14:textId="79D134C8" w:rsidR="006A0BC0" w:rsidRPr="00B96942" w:rsidRDefault="006A0BC0" w:rsidP="006A0BC0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0F6A92" w:rsidRPr="00B96942" w14:paraId="05473103" w14:textId="77777777" w:rsidTr="006A0BC0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E71021" w14:textId="77777777" w:rsidR="006A0BC0" w:rsidRPr="00B96942" w:rsidRDefault="006A0BC0" w:rsidP="006A0BC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96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Saistošo noteikumu fiskālā ietekme uz pašvaldības budžetu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2F5F3AF" w14:textId="5E88EAA5" w:rsidR="00F425C7" w:rsidRPr="00B96942" w:rsidRDefault="00F425C7" w:rsidP="00F425C7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9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Nolikumam nav fiskālā ietekme uz pašvaldības budžetu.</w:t>
            </w:r>
            <w:r w:rsidR="006A0BC0" w:rsidRPr="00B96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</w:p>
          <w:p w14:paraId="512B4D74" w14:textId="6D8D7678" w:rsidR="006A0BC0" w:rsidRPr="00B96942" w:rsidRDefault="006A0BC0" w:rsidP="006A0BC0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0F6A92" w:rsidRPr="00B96942" w14:paraId="19EE5C93" w14:textId="77777777" w:rsidTr="006A0BC0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2FF9B6" w14:textId="77777777" w:rsidR="006A0BC0" w:rsidRPr="00B96942" w:rsidRDefault="006A0BC0" w:rsidP="006A0BC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96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Saistošo noteikumu sociālā ietekme, ietekme uz vidi, iedzīvotāju veselību, uzņēmējdarbības vidi pašvaldības teritorijā, kā arī plānotā regulējuma ietekme uz konkurenci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057197A" w14:textId="4B75154A" w:rsidR="00F425C7" w:rsidRPr="00B96942" w:rsidRDefault="00F425C7" w:rsidP="00F425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lv-LV"/>
                <w14:ligatures w14:val="none"/>
              </w:rPr>
            </w:pPr>
            <w:r w:rsidRPr="00B96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lv-LV"/>
                <w14:ligatures w14:val="none"/>
              </w:rPr>
              <w:t>Sociālā ietekme – tiks veicināta sabiedrības iesaiste pašvaldības darbā;</w:t>
            </w:r>
          </w:p>
          <w:p w14:paraId="77444FA0" w14:textId="08DDC455" w:rsidR="00F425C7" w:rsidRPr="00B96942" w:rsidRDefault="00F425C7" w:rsidP="00F425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lv-LV"/>
                <w14:ligatures w14:val="none"/>
              </w:rPr>
            </w:pPr>
            <w:r w:rsidRPr="00B96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shd w:val="clear" w:color="auto" w:fill="FFFFFF"/>
                <w:lang w:eastAsia="lv-LV"/>
                <w14:ligatures w14:val="none"/>
              </w:rPr>
              <w:t>Ietekme uz vidi – nav;</w:t>
            </w:r>
          </w:p>
          <w:p w14:paraId="1D1A5ADC" w14:textId="2B01DA2C" w:rsidR="00F425C7" w:rsidRPr="00B96942" w:rsidRDefault="00F425C7" w:rsidP="00F425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96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Ietekme uz iedzīvotāju veselību – nav;</w:t>
            </w:r>
          </w:p>
          <w:p w14:paraId="6187003A" w14:textId="226FDB64" w:rsidR="00F425C7" w:rsidRPr="00B96942" w:rsidRDefault="00F425C7" w:rsidP="00F425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96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Ietekme uz uzņēmējdarbības vidi pašvaldības teritorijā – nav;</w:t>
            </w:r>
          </w:p>
          <w:p w14:paraId="2815B1EE" w14:textId="70265026" w:rsidR="00F425C7" w:rsidRPr="00B96942" w:rsidRDefault="00F425C7" w:rsidP="00F425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96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Ietekme uz konkurenci – nav.</w:t>
            </w:r>
          </w:p>
          <w:p w14:paraId="4B9E7B56" w14:textId="025078B5" w:rsidR="006A0BC0" w:rsidRPr="00B96942" w:rsidRDefault="006A0BC0" w:rsidP="006A0BC0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0F6A92" w:rsidRPr="00B96942" w14:paraId="02DFE60B" w14:textId="77777777" w:rsidTr="006A0BC0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8622E12" w14:textId="77777777" w:rsidR="006A0BC0" w:rsidRPr="00B96942" w:rsidRDefault="006A0BC0" w:rsidP="006A0BC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96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Saistošo noteikumu ietekme uz administratīvajām procedūrām un to izmaksām gan attiecībā uz saimnieciskās darbības veicējiem, gan fiziskajām personām un nevalstiskā sektora organizācijām, gan budžeta finansētām institūcijām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98E4AFF" w14:textId="798BC95E" w:rsidR="006A0BC0" w:rsidRPr="00B96942" w:rsidRDefault="00DE1F6C" w:rsidP="006A0BC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9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Administratīvās procedūras pēc būtības noritēs līdzšinējā kārtībā, kā arī Nolikums neparedz papildu administratīvo procedūru izmaksas.</w:t>
            </w:r>
          </w:p>
        </w:tc>
      </w:tr>
      <w:tr w:rsidR="000F6A92" w:rsidRPr="00B96942" w14:paraId="471F2B58" w14:textId="77777777" w:rsidTr="00DE1F6C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88D975" w14:textId="77777777" w:rsidR="006A0BC0" w:rsidRPr="00B96942" w:rsidRDefault="006A0BC0" w:rsidP="006A0BC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96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Saistošo noteikumu ietekme uz pašvaldības funkcijām un cilvēkresursiem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90E5D54" w14:textId="2F925EDC" w:rsidR="006A0BC0" w:rsidRPr="00B96942" w:rsidRDefault="00DE1F6C" w:rsidP="00DE1F6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9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Saistībā ar Nolikuma paredzētā regulējuma izpildi </w:t>
            </w:r>
            <w:r w:rsidR="000F6A92" w:rsidRPr="00B9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varētu </w:t>
            </w:r>
            <w:r w:rsidRPr="00B9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tik</w:t>
            </w:r>
            <w:r w:rsidR="000F6A92" w:rsidRPr="00B9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</w:t>
            </w:r>
            <w:r w:rsidRPr="00B9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precizēta esošo </w:t>
            </w:r>
            <w:r w:rsidR="000F6A92" w:rsidRPr="00B9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Pašvaldības </w:t>
            </w:r>
            <w:r w:rsidRPr="00B9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darbinieku kompetence</w:t>
            </w:r>
            <w:r w:rsidR="000F6A92" w:rsidRPr="00B9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F6A92" w:rsidRPr="00B96942" w14:paraId="3FDADC76" w14:textId="77777777" w:rsidTr="006A0BC0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CEA1EB" w14:textId="77777777" w:rsidR="006A0BC0" w:rsidRPr="00B96942" w:rsidRDefault="006A0BC0" w:rsidP="006A0BC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96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Saistošo noteikumu izpildes nodrošināšana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F266AC5" w14:textId="36F14B0D" w:rsidR="006A0BC0" w:rsidRPr="00B96942" w:rsidRDefault="00DE1F6C" w:rsidP="006A0BC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9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Nolikuma noteikto uzdevumu izpildi nodrošinās Madonas novada administrācija. </w:t>
            </w:r>
          </w:p>
        </w:tc>
      </w:tr>
      <w:tr w:rsidR="000F6A92" w:rsidRPr="00B96942" w14:paraId="6498353F" w14:textId="77777777" w:rsidTr="006A0BC0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486CFD" w14:textId="77777777" w:rsidR="006A0BC0" w:rsidRPr="00B96942" w:rsidRDefault="006A0BC0" w:rsidP="006A0BC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96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Saistošo noteikumu prasību un izmaksu samērīgumu pret ieguvumiem, ko sniedz mērķa sasniegšana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8A02BF" w14:textId="211DFAED" w:rsidR="006A0BC0" w:rsidRPr="00B96942" w:rsidRDefault="00DE1F6C" w:rsidP="006A0BC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96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Nolikums ir piemērots paredzētā mērķa sasniegšanas nodrošināšanai un nosaka tikai to regulējumu, kas ir nepieciešams minētā mērķa sasniegšanai</w:t>
            </w:r>
            <w:r w:rsidR="006A0BC0" w:rsidRPr="00B96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</w:tr>
      <w:tr w:rsidR="000F6A92" w:rsidRPr="00B96942" w14:paraId="7F060134" w14:textId="77777777" w:rsidTr="006A0BC0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E3FA640" w14:textId="77777777" w:rsidR="006A0BC0" w:rsidRPr="00B96942" w:rsidRDefault="006A0BC0" w:rsidP="006A0BC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96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Saistošo noteikumu izstrādes gaitā veiktās konsultācijas ar privātpersonām, saņemtais sabiedrības viedoklis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D9C276" w14:textId="0F9A077F" w:rsidR="006A0BC0" w:rsidRPr="00B96942" w:rsidRDefault="006A0BC0" w:rsidP="006A0BC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96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Atbilstoši </w:t>
            </w:r>
            <w:hyperlink r:id="rId10" w:tgtFrame="_blank" w:history="1">
              <w:r w:rsidRPr="00B96942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lv-LV"/>
                  <w14:ligatures w14:val="none"/>
                </w:rPr>
                <w:t>Pašvaldību likuma</w:t>
              </w:r>
            </w:hyperlink>
            <w:r w:rsidRPr="00B96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  <w:hyperlink r:id="rId11" w:anchor="p46" w:tgtFrame="_blank" w:history="1">
              <w:r w:rsidRPr="00B96942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lv-LV"/>
                  <w14:ligatures w14:val="none"/>
                </w:rPr>
                <w:t>46. panta</w:t>
              </w:r>
            </w:hyperlink>
            <w:r w:rsidRPr="00B96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trešajai daļai, lai informētu sabiedrību par Saistošo noteikumu projektu un dotu iespēju iedzīvotājiem izteikt viedokli, Saistošo noteikumu projekts no</w:t>
            </w:r>
            <w:r w:rsidR="000F6A92" w:rsidRPr="00B96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202</w:t>
            </w:r>
            <w:r w:rsidR="00696AC0" w:rsidRPr="00B96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  <w:r w:rsidR="000F6A92" w:rsidRPr="00B96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.gada</w:t>
            </w:r>
            <w:r w:rsidR="00696AC0" w:rsidRPr="00B96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23.janvāra</w:t>
            </w:r>
            <w:r w:rsidR="000F6A92" w:rsidRPr="00B96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Pr="00B96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līdz</w:t>
            </w:r>
            <w:r w:rsidR="000F6A92" w:rsidRPr="00B96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2024.gada </w:t>
            </w:r>
            <w:r w:rsidR="00696AC0" w:rsidRPr="00B96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7.februārim</w:t>
            </w:r>
            <w:r w:rsidRPr="00B96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bija publicēts Pašvaldības tīmekļa vietnē www.madona.lv sadaļas "Dokumenti" </w:t>
            </w:r>
            <w:proofErr w:type="spellStart"/>
            <w:r w:rsidRPr="00B96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apakšsadaļā</w:t>
            </w:r>
            <w:proofErr w:type="spellEnd"/>
            <w:r w:rsidRPr="00B96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"Saistošo noteikumu projekti". </w:t>
            </w:r>
            <w:r w:rsidR="00696AC0" w:rsidRPr="00B969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Viedokļi netika saņemti.</w:t>
            </w:r>
          </w:p>
        </w:tc>
      </w:tr>
    </w:tbl>
    <w:p w14:paraId="53CBB252" w14:textId="0D265CB6" w:rsidR="00F52BDC" w:rsidRDefault="00F52BDC">
      <w:pPr>
        <w:rPr>
          <w:rFonts w:ascii="Times New Roman" w:hAnsi="Times New Roman" w:cs="Times New Roman"/>
          <w:sz w:val="24"/>
          <w:szCs w:val="24"/>
        </w:rPr>
      </w:pPr>
    </w:p>
    <w:p w14:paraId="736454DB" w14:textId="2D7599A0" w:rsidR="00B96942" w:rsidRDefault="00B96942">
      <w:pPr>
        <w:rPr>
          <w:rFonts w:ascii="Times New Roman" w:hAnsi="Times New Roman" w:cs="Times New Roman"/>
          <w:sz w:val="24"/>
          <w:szCs w:val="24"/>
        </w:rPr>
      </w:pPr>
    </w:p>
    <w:p w14:paraId="13934F0B" w14:textId="77777777" w:rsidR="00B96942" w:rsidRDefault="00B96942">
      <w:pPr>
        <w:rPr>
          <w:rFonts w:ascii="Times New Roman" w:hAnsi="Times New Roman" w:cs="Times New Roman"/>
          <w:sz w:val="24"/>
          <w:szCs w:val="24"/>
        </w:rPr>
      </w:pPr>
    </w:p>
    <w:p w14:paraId="38A5031F" w14:textId="77777777" w:rsidR="00B96942" w:rsidRPr="00B96942" w:rsidRDefault="00B96942" w:rsidP="00B96942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1"/>
          <w:lang w:eastAsia="lv-LV"/>
        </w:rPr>
      </w:pPr>
      <w:r w:rsidRPr="00B96942">
        <w:rPr>
          <w:rFonts w:ascii="Times New Roman" w:eastAsia="Times New Roman" w:hAnsi="Times New Roman" w:cs="Times New Roman"/>
          <w:sz w:val="24"/>
          <w:szCs w:val="21"/>
          <w:lang w:eastAsia="lv-LV"/>
        </w:rPr>
        <w:t>Domes priekšsēdētājs</w:t>
      </w:r>
      <w:r w:rsidRPr="00B96942">
        <w:rPr>
          <w:rFonts w:ascii="Times New Roman" w:eastAsia="Times New Roman" w:hAnsi="Times New Roman" w:cs="Times New Roman"/>
          <w:sz w:val="24"/>
          <w:szCs w:val="21"/>
          <w:lang w:eastAsia="lv-LV"/>
        </w:rPr>
        <w:tab/>
      </w:r>
      <w:r w:rsidRPr="00B96942">
        <w:rPr>
          <w:rFonts w:ascii="Times New Roman" w:eastAsia="Times New Roman" w:hAnsi="Times New Roman" w:cs="Times New Roman"/>
          <w:sz w:val="24"/>
          <w:szCs w:val="21"/>
          <w:lang w:eastAsia="lv-LV"/>
        </w:rPr>
        <w:tab/>
      </w:r>
      <w:r w:rsidRPr="00B96942">
        <w:rPr>
          <w:rFonts w:ascii="Times New Roman" w:eastAsia="Times New Roman" w:hAnsi="Times New Roman" w:cs="Times New Roman"/>
          <w:sz w:val="24"/>
          <w:szCs w:val="21"/>
          <w:lang w:eastAsia="lv-LV"/>
        </w:rPr>
        <w:tab/>
      </w:r>
      <w:r w:rsidRPr="00B96942">
        <w:rPr>
          <w:rFonts w:ascii="Times New Roman" w:eastAsia="Times New Roman" w:hAnsi="Times New Roman" w:cs="Times New Roman"/>
          <w:sz w:val="24"/>
          <w:szCs w:val="21"/>
          <w:lang w:eastAsia="lv-LV"/>
        </w:rPr>
        <w:tab/>
      </w:r>
      <w:r w:rsidRPr="00B96942">
        <w:rPr>
          <w:rFonts w:ascii="Times New Roman" w:eastAsia="Times New Roman" w:hAnsi="Times New Roman" w:cs="Times New Roman"/>
          <w:sz w:val="24"/>
          <w:szCs w:val="21"/>
          <w:lang w:eastAsia="lv-LV"/>
        </w:rPr>
        <w:tab/>
      </w:r>
      <w:r w:rsidRPr="00B96942">
        <w:rPr>
          <w:rFonts w:ascii="Times New Roman" w:eastAsia="Times New Roman" w:hAnsi="Times New Roman" w:cs="Times New Roman"/>
          <w:sz w:val="24"/>
          <w:szCs w:val="21"/>
          <w:lang w:eastAsia="lv-LV"/>
        </w:rPr>
        <w:tab/>
      </w:r>
      <w:r w:rsidRPr="00B96942">
        <w:rPr>
          <w:rFonts w:ascii="Times New Roman" w:eastAsia="Times New Roman" w:hAnsi="Times New Roman" w:cs="Times New Roman"/>
          <w:sz w:val="24"/>
          <w:szCs w:val="21"/>
          <w:lang w:eastAsia="lv-LV"/>
        </w:rPr>
        <w:tab/>
        <w:t>Agris Lungevičs</w:t>
      </w:r>
    </w:p>
    <w:p w14:paraId="1D09C956" w14:textId="77777777" w:rsidR="00B96942" w:rsidRPr="00B96942" w:rsidRDefault="00B96942">
      <w:pPr>
        <w:rPr>
          <w:rFonts w:ascii="Times New Roman" w:hAnsi="Times New Roman" w:cs="Times New Roman"/>
          <w:sz w:val="24"/>
          <w:szCs w:val="24"/>
        </w:rPr>
      </w:pPr>
    </w:p>
    <w:sectPr w:rsidR="00B96942" w:rsidRPr="00B96942" w:rsidSect="00B96942">
      <w:footerReference w:type="default" r:id="rId12"/>
      <w:pgSz w:w="11906" w:h="16838"/>
      <w:pgMar w:top="1134" w:right="1134" w:bottom="113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90C82" w14:textId="77777777" w:rsidR="000B55A9" w:rsidRDefault="000B55A9" w:rsidP="00B96942">
      <w:pPr>
        <w:spacing w:after="0" w:line="240" w:lineRule="auto"/>
      </w:pPr>
      <w:r>
        <w:separator/>
      </w:r>
    </w:p>
  </w:endnote>
  <w:endnote w:type="continuationSeparator" w:id="0">
    <w:p w14:paraId="4845BC61" w14:textId="77777777" w:rsidR="000B55A9" w:rsidRDefault="000B55A9" w:rsidP="00B96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68715" w14:textId="1A86CB0F" w:rsidR="00B96942" w:rsidRPr="00B96942" w:rsidRDefault="00B96942" w:rsidP="00B96942">
    <w:pPr>
      <w:pStyle w:val="Kjene"/>
      <w:rPr>
        <w:rFonts w:ascii="Times New Roman" w:eastAsia="Times New Roman" w:hAnsi="Times New Roman" w:cs="Times New Roman"/>
        <w:sz w:val="20"/>
        <w:szCs w:val="20"/>
        <w:lang w:eastAsia="lv-LV"/>
      </w:rPr>
    </w:pPr>
    <w:bookmarkStart w:id="0" w:name="_Hlk157067547"/>
    <w:r w:rsidRPr="00B96942">
      <w:rPr>
        <w:rFonts w:ascii="Times New Roman" w:eastAsia="Times New Roman" w:hAnsi="Times New Roman" w:cs="Times New Roman"/>
        <w:sz w:val="20"/>
        <w:szCs w:val="20"/>
        <w:lang w:eastAsia="lv-LV"/>
      </w:rPr>
      <w:t>DOKUMENTS PARAKSTĪTS AR DROŠU ELEKTRONISKO PARAKSTU UN SATUR LAIKA ZĪMOGU</w:t>
    </w:r>
    <w:bookmarkEnd w:id="0"/>
  </w:p>
  <w:p w14:paraId="731AD337" w14:textId="7D4350FC" w:rsidR="00B96942" w:rsidRDefault="00B96942">
    <w:pPr>
      <w:pStyle w:val="Kjene"/>
    </w:pPr>
  </w:p>
  <w:p w14:paraId="0E7D47A4" w14:textId="77777777" w:rsidR="00B96942" w:rsidRDefault="00B9694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F8B38" w14:textId="77777777" w:rsidR="000B55A9" w:rsidRDefault="000B55A9" w:rsidP="00B96942">
      <w:pPr>
        <w:spacing w:after="0" w:line="240" w:lineRule="auto"/>
      </w:pPr>
      <w:r>
        <w:separator/>
      </w:r>
    </w:p>
  </w:footnote>
  <w:footnote w:type="continuationSeparator" w:id="0">
    <w:p w14:paraId="4E73AE44" w14:textId="77777777" w:rsidR="000B55A9" w:rsidRDefault="000B55A9" w:rsidP="00B969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C0"/>
    <w:rsid w:val="000B55A9"/>
    <w:rsid w:val="000C3A49"/>
    <w:rsid w:val="000F6A92"/>
    <w:rsid w:val="001B64E4"/>
    <w:rsid w:val="003D39BB"/>
    <w:rsid w:val="00696AC0"/>
    <w:rsid w:val="006A0BC0"/>
    <w:rsid w:val="00B96942"/>
    <w:rsid w:val="00DE1F6C"/>
    <w:rsid w:val="00F425C7"/>
    <w:rsid w:val="00F5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2197"/>
  <w15:chartTrackingRefBased/>
  <w15:docId w15:val="{90BE105C-DF36-4E74-B2CF-BC6BE3E8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DE1F6C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B969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942"/>
  </w:style>
  <w:style w:type="paragraph" w:styleId="Kjene">
    <w:name w:val="footer"/>
    <w:basedOn w:val="Parasts"/>
    <w:link w:val="KjeneRakstz"/>
    <w:uiPriority w:val="99"/>
    <w:unhideWhenUsed/>
    <w:rsid w:val="00B969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1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77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7255-par-pasvaldiba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ikumi.lv/ta/id/57255-par-pasvaldiba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336956-pasvaldibu-likums" TargetMode="External"/><Relationship Id="rId11" Type="http://schemas.openxmlformats.org/officeDocument/2006/relationships/hyperlink" Target="https://likumi.lv/ta/id/336956-pasvaldibu-likums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ikumi.lv/ta/id/336956-pasvaldibu-likum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ikumi.lv/ta/id/336956-pasvaldibu-liku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2240</Words>
  <Characters>1277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Zāle</dc:creator>
  <cp:keywords/>
  <dc:description/>
  <cp:lastModifiedBy>DaceC</cp:lastModifiedBy>
  <cp:revision>3</cp:revision>
  <dcterms:created xsi:type="dcterms:W3CDTF">2024-01-20T19:48:00Z</dcterms:created>
  <dcterms:modified xsi:type="dcterms:W3CDTF">2024-03-04T10:32:00Z</dcterms:modified>
</cp:coreProperties>
</file>